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3723B" w14:textId="77777777" w:rsidR="006D09EA" w:rsidRPr="006D09EA" w:rsidRDefault="006D09EA" w:rsidP="006D09EA">
      <w:pPr>
        <w:pStyle w:val="FootnoteText"/>
        <w:ind w:left="360" w:hanging="360"/>
        <w:rPr>
          <w:sz w:val="18"/>
          <w:szCs w:val="18"/>
        </w:rPr>
      </w:pPr>
      <w:r w:rsidRPr="006D09EA">
        <w:rPr>
          <w:rStyle w:val="FootnoteReference"/>
          <w:sz w:val="18"/>
          <w:szCs w:val="18"/>
        </w:rPr>
        <w:footnoteRef/>
      </w:r>
      <w:r w:rsidRPr="006D09EA">
        <w:rPr>
          <w:sz w:val="18"/>
          <w:szCs w:val="18"/>
        </w:rPr>
        <w:t xml:space="preserve"> </w:t>
      </w:r>
      <w:r w:rsidRPr="006D09EA">
        <w:rPr>
          <w:i/>
          <w:sz w:val="18"/>
          <w:szCs w:val="18"/>
        </w:rPr>
        <w:t xml:space="preserve">Nueva </w:t>
      </w:r>
      <w:proofErr w:type="spellStart"/>
      <w:r w:rsidRPr="006D09EA">
        <w:rPr>
          <w:i/>
          <w:sz w:val="18"/>
          <w:szCs w:val="18"/>
        </w:rPr>
        <w:t>Constitucion</w:t>
      </w:r>
      <w:proofErr w:type="spellEnd"/>
      <w:r w:rsidRPr="006D09EA">
        <w:rPr>
          <w:i/>
          <w:sz w:val="18"/>
          <w:szCs w:val="18"/>
        </w:rPr>
        <w:t xml:space="preserve"> </w:t>
      </w:r>
      <w:proofErr w:type="spellStart"/>
      <w:r w:rsidRPr="006D09EA">
        <w:rPr>
          <w:i/>
          <w:sz w:val="18"/>
          <w:szCs w:val="18"/>
        </w:rPr>
        <w:t>Política</w:t>
      </w:r>
      <w:proofErr w:type="spellEnd"/>
      <w:r w:rsidRPr="006D09EA">
        <w:rPr>
          <w:i/>
          <w:sz w:val="18"/>
          <w:szCs w:val="18"/>
        </w:rPr>
        <w:t xml:space="preserve"> del Estado, (Text of the new Bolivian Constitution as it was approved by the Constitutional Assembly in December 9, 2007)</w:t>
      </w:r>
      <w:r w:rsidRPr="006D09EA">
        <w:rPr>
          <w:sz w:val="18"/>
          <w:szCs w:val="18"/>
        </w:rPr>
        <w:t xml:space="preserve">, in </w:t>
      </w:r>
      <w:proofErr w:type="spellStart"/>
      <w:r w:rsidRPr="006D09EA">
        <w:rPr>
          <w:rFonts w:eastAsia="ArialMT" w:cs="ArialMT"/>
          <w:smallCaps/>
          <w:sz w:val="18"/>
          <w:szCs w:val="18"/>
        </w:rPr>
        <w:t>Enciclopedia</w:t>
      </w:r>
      <w:proofErr w:type="spellEnd"/>
      <w:r w:rsidRPr="006D09EA">
        <w:rPr>
          <w:rFonts w:eastAsia="ArialMT" w:cs="ArialMT"/>
          <w:smallCaps/>
          <w:sz w:val="18"/>
          <w:szCs w:val="18"/>
        </w:rPr>
        <w:t xml:space="preserve"> </w:t>
      </w:r>
      <w:proofErr w:type="spellStart"/>
      <w:r w:rsidRPr="006D09EA">
        <w:rPr>
          <w:rFonts w:eastAsia="ArialMT" w:cs="ArialMT"/>
          <w:smallCaps/>
          <w:sz w:val="18"/>
          <w:szCs w:val="18"/>
        </w:rPr>
        <w:t>Historica</w:t>
      </w:r>
      <w:proofErr w:type="spellEnd"/>
      <w:r w:rsidRPr="006D09EA">
        <w:rPr>
          <w:rFonts w:eastAsia="ArialMT" w:cs="ArialMT"/>
          <w:smallCaps/>
          <w:sz w:val="18"/>
          <w:szCs w:val="18"/>
        </w:rPr>
        <w:t xml:space="preserve"> documental del </w:t>
      </w:r>
      <w:proofErr w:type="spellStart"/>
      <w:r w:rsidRPr="006D09EA">
        <w:rPr>
          <w:rFonts w:eastAsia="ArialMT" w:cs="ArialMT"/>
          <w:smallCaps/>
          <w:sz w:val="18"/>
          <w:szCs w:val="18"/>
        </w:rPr>
        <w:t>Proceso</w:t>
      </w:r>
      <w:proofErr w:type="spellEnd"/>
      <w:r w:rsidRPr="006D09EA">
        <w:rPr>
          <w:rFonts w:eastAsia="ArialMT" w:cs="ArialMT"/>
          <w:smallCaps/>
          <w:sz w:val="18"/>
          <w:szCs w:val="18"/>
        </w:rPr>
        <w:t xml:space="preserve"> constituyente Boliviano, </w:t>
      </w:r>
      <w:proofErr w:type="spellStart"/>
      <w:r w:rsidRPr="006D09EA">
        <w:rPr>
          <w:rFonts w:eastAsia="ArialMT" w:cs="ArialMT"/>
          <w:smallCaps/>
          <w:sz w:val="18"/>
          <w:szCs w:val="18"/>
        </w:rPr>
        <w:t>Informes</w:t>
      </w:r>
      <w:proofErr w:type="spellEnd"/>
      <w:r w:rsidRPr="006D09EA">
        <w:rPr>
          <w:rFonts w:eastAsia="ArialMT" w:cs="ArialMT"/>
          <w:smallCaps/>
          <w:sz w:val="18"/>
          <w:szCs w:val="18"/>
        </w:rPr>
        <w:t xml:space="preserve"> por </w:t>
      </w:r>
      <w:proofErr w:type="spellStart"/>
      <w:r w:rsidRPr="006D09EA">
        <w:rPr>
          <w:rFonts w:eastAsia="ArialMT" w:cs="ArialMT"/>
          <w:smallCaps/>
          <w:sz w:val="18"/>
          <w:szCs w:val="18"/>
        </w:rPr>
        <w:t>Comisiones</w:t>
      </w:r>
      <w:proofErr w:type="spellEnd"/>
      <w:r w:rsidRPr="006D09EA">
        <w:rPr>
          <w:rFonts w:eastAsia="ArialMT" w:cs="ArialMT"/>
          <w:smallCaps/>
          <w:sz w:val="18"/>
          <w:szCs w:val="18"/>
        </w:rPr>
        <w:t>—</w:t>
      </w:r>
      <w:proofErr w:type="spellStart"/>
      <w:r w:rsidRPr="006D09EA">
        <w:rPr>
          <w:rFonts w:eastAsia="ArialMT" w:cs="ArialMT"/>
          <w:smallCaps/>
          <w:sz w:val="18"/>
          <w:szCs w:val="18"/>
        </w:rPr>
        <w:t>Tomo</w:t>
      </w:r>
      <w:proofErr w:type="spellEnd"/>
      <w:r w:rsidRPr="006D09EA">
        <w:rPr>
          <w:rFonts w:eastAsia="ArialMT" w:cs="ArialMT"/>
          <w:smallCaps/>
          <w:sz w:val="18"/>
          <w:szCs w:val="18"/>
        </w:rPr>
        <w:t xml:space="preserve"> </w:t>
      </w:r>
      <w:proofErr w:type="gramStart"/>
      <w:r w:rsidRPr="006D09EA">
        <w:rPr>
          <w:rFonts w:eastAsia="ArialMT" w:cs="ArialMT"/>
          <w:smallCaps/>
          <w:sz w:val="18"/>
          <w:szCs w:val="18"/>
        </w:rPr>
        <w:t>IV ,</w:t>
      </w:r>
      <w:proofErr w:type="gramEnd"/>
      <w:r w:rsidRPr="006D09EA">
        <w:rPr>
          <w:rFonts w:eastAsia="ArialMT" w:cs="ArialMT"/>
          <w:smallCaps/>
          <w:sz w:val="18"/>
          <w:szCs w:val="18"/>
        </w:rPr>
        <w:t xml:space="preserve"> 947 (</w:t>
      </w:r>
      <w:proofErr w:type="spellStart"/>
      <w:r w:rsidRPr="006D09EA">
        <w:rPr>
          <w:sz w:val="18"/>
          <w:szCs w:val="18"/>
        </w:rPr>
        <w:t>Biblioteca</w:t>
      </w:r>
      <w:proofErr w:type="spellEnd"/>
      <w:r w:rsidRPr="006D09EA">
        <w:rPr>
          <w:sz w:val="18"/>
          <w:szCs w:val="18"/>
        </w:rPr>
        <w:t xml:space="preserve"> y </w:t>
      </w:r>
      <w:proofErr w:type="spellStart"/>
      <w:r w:rsidRPr="006D09EA">
        <w:rPr>
          <w:sz w:val="18"/>
          <w:szCs w:val="18"/>
        </w:rPr>
        <w:t>Archivo</w:t>
      </w:r>
      <w:proofErr w:type="spellEnd"/>
      <w:r w:rsidRPr="006D09EA">
        <w:rPr>
          <w:sz w:val="18"/>
          <w:szCs w:val="18"/>
        </w:rPr>
        <w:t xml:space="preserve"> </w:t>
      </w:r>
      <w:proofErr w:type="spellStart"/>
      <w:r w:rsidRPr="006D09EA">
        <w:rPr>
          <w:sz w:val="18"/>
          <w:szCs w:val="18"/>
        </w:rPr>
        <w:t>Histórico</w:t>
      </w:r>
      <w:proofErr w:type="spellEnd"/>
      <w:r w:rsidRPr="006D09EA">
        <w:rPr>
          <w:sz w:val="18"/>
          <w:szCs w:val="18"/>
        </w:rPr>
        <w:t xml:space="preserve"> de la </w:t>
      </w:r>
      <w:proofErr w:type="spellStart"/>
      <w:r w:rsidRPr="006D09EA">
        <w:rPr>
          <w:sz w:val="18"/>
          <w:szCs w:val="18"/>
        </w:rPr>
        <w:t>Asamblea</w:t>
      </w:r>
      <w:proofErr w:type="spellEnd"/>
      <w:r w:rsidRPr="006D09EA">
        <w:rPr>
          <w:sz w:val="18"/>
          <w:szCs w:val="18"/>
        </w:rPr>
        <w:t xml:space="preserve"> </w:t>
      </w:r>
      <w:proofErr w:type="spellStart"/>
      <w:r w:rsidRPr="006D09EA">
        <w:rPr>
          <w:sz w:val="18"/>
          <w:szCs w:val="18"/>
        </w:rPr>
        <w:t>Legislativa</w:t>
      </w:r>
      <w:proofErr w:type="spellEnd"/>
      <w:r w:rsidRPr="006D09EA">
        <w:rPr>
          <w:sz w:val="18"/>
          <w:szCs w:val="18"/>
        </w:rPr>
        <w:t xml:space="preserve"> </w:t>
      </w:r>
      <w:proofErr w:type="spellStart"/>
      <w:r w:rsidRPr="006D09EA">
        <w:rPr>
          <w:sz w:val="18"/>
          <w:szCs w:val="18"/>
        </w:rPr>
        <w:t>Plurinacional</w:t>
      </w:r>
      <w:proofErr w:type="spellEnd"/>
      <w:r w:rsidRPr="006D09EA">
        <w:rPr>
          <w:sz w:val="18"/>
          <w:szCs w:val="18"/>
        </w:rPr>
        <w:t xml:space="preserve">, 2012); and final text of the </w:t>
      </w:r>
      <w:r w:rsidRPr="006D09EA">
        <w:rPr>
          <w:smallCaps/>
          <w:sz w:val="18"/>
          <w:szCs w:val="18"/>
        </w:rPr>
        <w:t xml:space="preserve">Bolivian Constitution </w:t>
      </w:r>
      <w:r w:rsidRPr="006D09EA">
        <w:rPr>
          <w:sz w:val="18"/>
          <w:szCs w:val="18"/>
        </w:rPr>
        <w:t xml:space="preserve">as it was ratified by the public in January 25, </w:t>
      </w:r>
      <w:r w:rsidRPr="006D09EA">
        <w:rPr>
          <w:smallCaps/>
          <w:sz w:val="18"/>
          <w:szCs w:val="18"/>
        </w:rPr>
        <w:t>2009.</w:t>
      </w:r>
    </w:p>
    <w:p w14:paraId="6BA23FD6" w14:textId="7DFE2BC4" w:rsidR="00BA4C1D" w:rsidRDefault="00F873A1">
      <w:proofErr w:type="gramStart"/>
      <w:r>
        <w:t>Translation by Amanda Driscoll.</w:t>
      </w:r>
      <w:proofErr w:type="gramEnd"/>
      <w:r>
        <w:t xml:space="preserve">  </w:t>
      </w:r>
    </w:p>
    <w:tbl>
      <w:tblPr>
        <w:tblStyle w:val="TableGrid"/>
        <w:tblpPr w:leftFromText="180" w:rightFromText="180" w:vertAnchor="text" w:tblpY="-2814"/>
        <w:tblW w:w="9274" w:type="dxa"/>
        <w:tblLook w:val="04A0" w:firstRow="1" w:lastRow="0" w:firstColumn="1" w:lastColumn="0" w:noHBand="0" w:noVBand="1"/>
      </w:tblPr>
      <w:tblGrid>
        <w:gridCol w:w="3059"/>
        <w:gridCol w:w="3128"/>
        <w:gridCol w:w="3087"/>
      </w:tblGrid>
      <w:tr w:rsidR="006D09EA" w14:paraId="68930328" w14:textId="77777777" w:rsidTr="006D09EA">
        <w:trPr>
          <w:trHeight w:val="871"/>
        </w:trPr>
        <w:tc>
          <w:tcPr>
            <w:tcW w:w="3059" w:type="dxa"/>
          </w:tcPr>
          <w:p w14:paraId="4A77DF11" w14:textId="77777777" w:rsidR="00BA4C1D" w:rsidRPr="00097E06" w:rsidRDefault="00BA4C1D" w:rsidP="00BA4C1D">
            <w:pPr>
              <w:rPr>
                <w:rFonts w:ascii="Times" w:hAnsi="Times"/>
                <w:b/>
                <w:sz w:val="20"/>
                <w:szCs w:val="20"/>
              </w:rPr>
            </w:pPr>
            <w:bookmarkStart w:id="0" w:name="_GoBack"/>
            <w:bookmarkEnd w:id="0"/>
          </w:p>
        </w:tc>
        <w:tc>
          <w:tcPr>
            <w:tcW w:w="3128" w:type="dxa"/>
          </w:tcPr>
          <w:p w14:paraId="73B55F6C" w14:textId="77777777" w:rsidR="00BA4C1D" w:rsidRPr="00097E06" w:rsidRDefault="00BA4C1D" w:rsidP="00BA4C1D">
            <w:pPr>
              <w:rPr>
                <w:rFonts w:ascii="Times" w:hAnsi="Times"/>
                <w:b/>
                <w:sz w:val="20"/>
                <w:szCs w:val="20"/>
              </w:rPr>
            </w:pPr>
            <w:r w:rsidRPr="00097E06">
              <w:rPr>
                <w:rFonts w:ascii="Times" w:hAnsi="Times"/>
                <w:b/>
                <w:color w:val="000000"/>
                <w:sz w:val="20"/>
                <w:szCs w:val="20"/>
              </w:rPr>
              <w:t>Text approved by Constitutional Assembly December 9, 2007</w:t>
            </w:r>
          </w:p>
        </w:tc>
        <w:tc>
          <w:tcPr>
            <w:tcW w:w="3087" w:type="dxa"/>
          </w:tcPr>
          <w:p w14:paraId="101AA0AF" w14:textId="77777777" w:rsidR="00BA4C1D" w:rsidRPr="00097E06" w:rsidRDefault="00BA4C1D" w:rsidP="00BA4C1D">
            <w:pPr>
              <w:rPr>
                <w:rFonts w:ascii="Times" w:hAnsi="Times"/>
                <w:b/>
                <w:sz w:val="20"/>
                <w:szCs w:val="20"/>
              </w:rPr>
            </w:pPr>
            <w:r w:rsidRPr="00097E06">
              <w:rPr>
                <w:rFonts w:ascii="Times" w:hAnsi="Times"/>
                <w:b/>
                <w:color w:val="000000"/>
                <w:sz w:val="20"/>
                <w:szCs w:val="20"/>
              </w:rPr>
              <w:t>Revised Constitutional Text as Presented in Congress October 21, 2008 and Ratified January 25, 2009</w:t>
            </w:r>
          </w:p>
        </w:tc>
      </w:tr>
      <w:tr w:rsidR="006D09EA" w14:paraId="1FD6047A" w14:textId="77777777" w:rsidTr="006D09EA">
        <w:trPr>
          <w:trHeight w:val="227"/>
        </w:trPr>
        <w:tc>
          <w:tcPr>
            <w:tcW w:w="3059" w:type="dxa"/>
          </w:tcPr>
          <w:p w14:paraId="6AED0E77" w14:textId="77777777" w:rsidR="00BA4C1D" w:rsidRPr="00097E06" w:rsidRDefault="00BA4C1D" w:rsidP="00BA4C1D">
            <w:pPr>
              <w:rPr>
                <w:rFonts w:ascii="Times" w:hAnsi="Times"/>
                <w:b/>
                <w:sz w:val="20"/>
                <w:szCs w:val="20"/>
              </w:rPr>
            </w:pPr>
            <w:r w:rsidRPr="00097E06">
              <w:rPr>
                <w:rFonts w:ascii="Times" w:hAnsi="Times"/>
                <w:b/>
                <w:color w:val="000000"/>
                <w:sz w:val="20"/>
                <w:szCs w:val="20"/>
              </w:rPr>
              <w:t>Judicial Nomination</w:t>
            </w:r>
          </w:p>
        </w:tc>
        <w:tc>
          <w:tcPr>
            <w:tcW w:w="3128" w:type="dxa"/>
          </w:tcPr>
          <w:p w14:paraId="2350CB84" w14:textId="77777777" w:rsidR="00BA4C1D" w:rsidRPr="00097E06" w:rsidRDefault="00BA4C1D" w:rsidP="00BA4C1D">
            <w:pPr>
              <w:rPr>
                <w:rFonts w:ascii="Times" w:hAnsi="Times"/>
                <w:sz w:val="20"/>
                <w:szCs w:val="20"/>
              </w:rPr>
            </w:pPr>
            <w:r w:rsidRPr="00097E06">
              <w:rPr>
                <w:rFonts w:ascii="Times" w:hAnsi="Times"/>
                <w:color w:val="000000"/>
                <w:sz w:val="20"/>
                <w:szCs w:val="20"/>
              </w:rPr>
              <w:t>Direct Universal Suffrage</w:t>
            </w:r>
          </w:p>
        </w:tc>
        <w:tc>
          <w:tcPr>
            <w:tcW w:w="3087" w:type="dxa"/>
          </w:tcPr>
          <w:p w14:paraId="6D9C4A29" w14:textId="77777777" w:rsidR="00BA4C1D" w:rsidRPr="00097E06" w:rsidRDefault="00BA4C1D" w:rsidP="00BA4C1D">
            <w:pPr>
              <w:rPr>
                <w:rFonts w:ascii="Times" w:hAnsi="Times"/>
                <w:sz w:val="20"/>
                <w:szCs w:val="20"/>
              </w:rPr>
            </w:pPr>
            <w:r w:rsidRPr="00097E06">
              <w:rPr>
                <w:rFonts w:ascii="Times" w:hAnsi="Times"/>
                <w:color w:val="000000"/>
                <w:sz w:val="20"/>
                <w:szCs w:val="20"/>
              </w:rPr>
              <w:t>Direct Universal Suffrage</w:t>
            </w:r>
          </w:p>
        </w:tc>
      </w:tr>
      <w:tr w:rsidR="006D09EA" w14:paraId="1A9376F0" w14:textId="77777777" w:rsidTr="006D09EA">
        <w:trPr>
          <w:trHeight w:val="2220"/>
        </w:trPr>
        <w:tc>
          <w:tcPr>
            <w:tcW w:w="3059" w:type="dxa"/>
          </w:tcPr>
          <w:p w14:paraId="70768047" w14:textId="77777777" w:rsidR="00BA4C1D" w:rsidRPr="00097E06" w:rsidRDefault="00BA4C1D" w:rsidP="00BA4C1D">
            <w:pPr>
              <w:rPr>
                <w:rFonts w:ascii="Times" w:hAnsi="Times"/>
                <w:b/>
                <w:sz w:val="20"/>
                <w:szCs w:val="20"/>
              </w:rPr>
            </w:pPr>
            <w:r w:rsidRPr="00097E06">
              <w:rPr>
                <w:rFonts w:ascii="Times" w:hAnsi="Times"/>
                <w:b/>
                <w:color w:val="000000"/>
                <w:sz w:val="20"/>
                <w:szCs w:val="20"/>
              </w:rPr>
              <w:t>Candidate Pre-selection</w:t>
            </w:r>
          </w:p>
        </w:tc>
        <w:tc>
          <w:tcPr>
            <w:tcW w:w="3128" w:type="dxa"/>
          </w:tcPr>
          <w:p w14:paraId="0D241A55" w14:textId="77777777" w:rsidR="00BA4C1D" w:rsidRPr="00097E06" w:rsidRDefault="00BA4C1D" w:rsidP="00BA4C1D">
            <w:pPr>
              <w:rPr>
                <w:rFonts w:ascii="Times" w:hAnsi="Times"/>
                <w:sz w:val="20"/>
                <w:szCs w:val="20"/>
              </w:rPr>
            </w:pPr>
            <w:r w:rsidRPr="00097E06">
              <w:rPr>
                <w:rFonts w:ascii="Times" w:hAnsi="Times"/>
                <w:color w:val="000000"/>
                <w:sz w:val="20"/>
                <w:szCs w:val="20"/>
              </w:rPr>
              <w:t xml:space="preserve">Candidates are pre-selected with consideration for </w:t>
            </w:r>
            <w:proofErr w:type="spellStart"/>
            <w:proofErr w:type="gramStart"/>
            <w:r w:rsidRPr="00097E06">
              <w:rPr>
                <w:rFonts w:ascii="Times" w:hAnsi="Times"/>
                <w:color w:val="000000"/>
                <w:sz w:val="20"/>
                <w:szCs w:val="20"/>
              </w:rPr>
              <w:t>plurinationalism</w:t>
            </w:r>
            <w:proofErr w:type="spellEnd"/>
            <w:r w:rsidRPr="00097E06">
              <w:rPr>
                <w:rFonts w:ascii="Times" w:hAnsi="Times"/>
                <w:color w:val="000000"/>
                <w:sz w:val="20"/>
                <w:szCs w:val="20"/>
              </w:rPr>
              <w:t>,</w:t>
            </w:r>
            <w:proofErr w:type="gramEnd"/>
            <w:r w:rsidRPr="00097E06">
              <w:rPr>
                <w:rFonts w:ascii="Times" w:hAnsi="Times"/>
                <w:color w:val="000000"/>
                <w:sz w:val="20"/>
                <w:szCs w:val="20"/>
              </w:rPr>
              <w:t xml:space="preserve"> with at least half of the magistrates must have experience with indigenous justice. Pre-selection of candidates would be decided by a simple majority of the National Judicial Council via procedure stipulated in law.</w:t>
            </w:r>
          </w:p>
        </w:tc>
        <w:tc>
          <w:tcPr>
            <w:tcW w:w="3087" w:type="dxa"/>
          </w:tcPr>
          <w:p w14:paraId="3D12F024" w14:textId="77777777" w:rsidR="00BA4C1D" w:rsidRPr="00097E06" w:rsidRDefault="00BA4C1D" w:rsidP="00BA4C1D">
            <w:pPr>
              <w:rPr>
                <w:rFonts w:ascii="Times" w:hAnsi="Times"/>
                <w:sz w:val="20"/>
                <w:szCs w:val="20"/>
              </w:rPr>
            </w:pPr>
            <w:r w:rsidRPr="00097E06">
              <w:rPr>
                <w:rFonts w:ascii="Times" w:hAnsi="Times"/>
                <w:color w:val="000000"/>
                <w:sz w:val="20"/>
                <w:szCs w:val="20"/>
              </w:rPr>
              <w:t xml:space="preserve">Candidates are pre-selected with consideration for </w:t>
            </w:r>
            <w:proofErr w:type="spellStart"/>
            <w:r w:rsidRPr="00097E06">
              <w:rPr>
                <w:rFonts w:ascii="Times" w:hAnsi="Times"/>
                <w:color w:val="000000"/>
                <w:sz w:val="20"/>
                <w:szCs w:val="20"/>
              </w:rPr>
              <w:t>plurinationalism</w:t>
            </w:r>
            <w:proofErr w:type="spellEnd"/>
            <w:r w:rsidRPr="00097E06">
              <w:rPr>
                <w:rFonts w:ascii="Times" w:hAnsi="Times"/>
                <w:color w:val="000000"/>
                <w:sz w:val="20"/>
                <w:szCs w:val="20"/>
              </w:rPr>
              <w:t xml:space="preserve"> by 2/3 of members of the National Congress</w:t>
            </w:r>
          </w:p>
        </w:tc>
      </w:tr>
      <w:tr w:rsidR="006D09EA" w14:paraId="446C6E1C" w14:textId="77777777" w:rsidTr="006D09EA">
        <w:trPr>
          <w:trHeight w:val="4206"/>
        </w:trPr>
        <w:tc>
          <w:tcPr>
            <w:tcW w:w="3059" w:type="dxa"/>
          </w:tcPr>
          <w:p w14:paraId="26469135" w14:textId="77777777" w:rsidR="00BA4C1D" w:rsidRPr="00097E06" w:rsidRDefault="00BA4C1D" w:rsidP="00BA4C1D">
            <w:pPr>
              <w:rPr>
                <w:rFonts w:ascii="Times" w:hAnsi="Times"/>
                <w:b/>
                <w:sz w:val="20"/>
                <w:szCs w:val="20"/>
              </w:rPr>
            </w:pPr>
            <w:r w:rsidRPr="00097E06">
              <w:rPr>
                <w:rFonts w:ascii="Times" w:hAnsi="Times"/>
                <w:b/>
                <w:color w:val="000000"/>
                <w:sz w:val="20"/>
                <w:szCs w:val="20"/>
              </w:rPr>
              <w:t>Candidate Qualifications</w:t>
            </w:r>
          </w:p>
        </w:tc>
        <w:tc>
          <w:tcPr>
            <w:tcW w:w="3128" w:type="dxa"/>
          </w:tcPr>
          <w:p w14:paraId="7C3D64AF" w14:textId="77777777" w:rsidR="00BA4C1D" w:rsidRPr="00097E06" w:rsidRDefault="00BA4C1D" w:rsidP="00BA4C1D">
            <w:pPr>
              <w:rPr>
                <w:rFonts w:ascii="Times" w:hAnsi="Times"/>
                <w:sz w:val="20"/>
                <w:szCs w:val="20"/>
              </w:rPr>
            </w:pPr>
            <w:r w:rsidRPr="00097E06">
              <w:rPr>
                <w:rFonts w:ascii="Times" w:hAnsi="Times"/>
                <w:color w:val="000000"/>
                <w:sz w:val="20"/>
                <w:szCs w:val="20"/>
              </w:rPr>
              <w:t xml:space="preserve">Fulfill requirements and restrictions of all public servants, greater than 35 years old. Candidates originating within the ordinary justice system must possess a law degree (be a lawyer), have served ethically, honestly and with probity in judicial capacity without any complaints filed with the National Judicial Council, have served as a lawyer or law professor for eight or more years. For those candidates whose experience is predominantly within the indigenous justice system, they should have been </w:t>
            </w:r>
            <w:r>
              <w:rPr>
                <w:rFonts w:ascii="Times" w:hAnsi="Times"/>
                <w:color w:val="000000"/>
                <w:sz w:val="20"/>
                <w:szCs w:val="20"/>
              </w:rPr>
              <w:t>“</w:t>
            </w:r>
            <w:r w:rsidRPr="00097E06">
              <w:rPr>
                <w:rFonts w:ascii="Times" w:hAnsi="Times"/>
                <w:color w:val="000000"/>
                <w:sz w:val="20"/>
                <w:szCs w:val="20"/>
              </w:rPr>
              <w:t>quality</w:t>
            </w:r>
            <w:r>
              <w:rPr>
                <w:rFonts w:ascii="Times" w:hAnsi="Times"/>
                <w:color w:val="000000"/>
                <w:sz w:val="20"/>
                <w:szCs w:val="20"/>
              </w:rPr>
              <w:t>”</w:t>
            </w:r>
            <w:r w:rsidRPr="00097E06">
              <w:rPr>
                <w:rFonts w:ascii="Times" w:hAnsi="Times"/>
                <w:color w:val="000000"/>
                <w:sz w:val="20"/>
                <w:szCs w:val="20"/>
              </w:rPr>
              <w:t xml:space="preserve"> judges within their respective justice system.  </w:t>
            </w:r>
          </w:p>
        </w:tc>
        <w:tc>
          <w:tcPr>
            <w:tcW w:w="3087" w:type="dxa"/>
          </w:tcPr>
          <w:p w14:paraId="5A4C83E2" w14:textId="77777777" w:rsidR="00BA4C1D" w:rsidRPr="00097E06" w:rsidRDefault="00BA4C1D" w:rsidP="00BA4C1D">
            <w:pPr>
              <w:rPr>
                <w:rFonts w:ascii="Times" w:hAnsi="Times"/>
                <w:sz w:val="20"/>
                <w:szCs w:val="20"/>
              </w:rPr>
            </w:pPr>
            <w:r w:rsidRPr="00097E06">
              <w:rPr>
                <w:rFonts w:ascii="Times" w:hAnsi="Times"/>
                <w:color w:val="000000"/>
                <w:sz w:val="20"/>
                <w:szCs w:val="20"/>
              </w:rPr>
              <w:t>Fulfill requirements and restrictions of all public servants, greater than 35 years old and have eight or more years of specialized or accredited experience in the realm of Constitutional, Administrative or Human Rights Law. The candidate pre-selection process will give preferential consideration to those with experience within the indigenous justice system.</w:t>
            </w:r>
          </w:p>
        </w:tc>
      </w:tr>
      <w:tr w:rsidR="006D09EA" w14:paraId="4481B1F4" w14:textId="77777777" w:rsidTr="006D09EA">
        <w:trPr>
          <w:trHeight w:val="1555"/>
        </w:trPr>
        <w:tc>
          <w:tcPr>
            <w:tcW w:w="3059" w:type="dxa"/>
          </w:tcPr>
          <w:p w14:paraId="0EC90F6D" w14:textId="77777777" w:rsidR="00BA4C1D" w:rsidRPr="00097E06" w:rsidRDefault="00BA4C1D" w:rsidP="00BA4C1D">
            <w:pPr>
              <w:rPr>
                <w:rFonts w:ascii="Times" w:hAnsi="Times"/>
                <w:b/>
                <w:sz w:val="20"/>
                <w:szCs w:val="20"/>
              </w:rPr>
            </w:pPr>
            <w:r w:rsidRPr="00097E06">
              <w:rPr>
                <w:rFonts w:ascii="Times" w:hAnsi="Times"/>
                <w:b/>
                <w:color w:val="000000"/>
                <w:sz w:val="20"/>
                <w:szCs w:val="20"/>
              </w:rPr>
              <w:t>Campaigns</w:t>
            </w:r>
          </w:p>
        </w:tc>
        <w:tc>
          <w:tcPr>
            <w:tcW w:w="3128" w:type="dxa"/>
          </w:tcPr>
          <w:p w14:paraId="5261879D" w14:textId="77777777" w:rsidR="00BA4C1D" w:rsidRPr="00097E06" w:rsidRDefault="00BA4C1D" w:rsidP="00BA4C1D">
            <w:pPr>
              <w:rPr>
                <w:rFonts w:ascii="Times" w:hAnsi="Times"/>
                <w:sz w:val="20"/>
                <w:szCs w:val="20"/>
              </w:rPr>
            </w:pPr>
            <w:r w:rsidRPr="00097E06">
              <w:rPr>
                <w:rFonts w:ascii="Times" w:hAnsi="Times"/>
                <w:color w:val="000000"/>
                <w:sz w:val="20"/>
                <w:szCs w:val="20"/>
              </w:rPr>
              <w:t>Candidates may not campaign and partisanship prohibited. The National Electoral Court is responsible for the diffusion of all candidates</w:t>
            </w:r>
            <w:r>
              <w:rPr>
                <w:rFonts w:ascii="Times" w:hAnsi="Times"/>
                <w:color w:val="000000"/>
                <w:sz w:val="20"/>
                <w:szCs w:val="20"/>
              </w:rPr>
              <w:t>’</w:t>
            </w:r>
            <w:r w:rsidRPr="00097E06">
              <w:rPr>
                <w:rFonts w:ascii="Times" w:hAnsi="Times"/>
                <w:color w:val="000000"/>
                <w:sz w:val="20"/>
                <w:szCs w:val="20"/>
              </w:rPr>
              <w:t xml:space="preserve"> merits.</w:t>
            </w:r>
          </w:p>
        </w:tc>
        <w:tc>
          <w:tcPr>
            <w:tcW w:w="3087" w:type="dxa"/>
          </w:tcPr>
          <w:p w14:paraId="029C62A9" w14:textId="77777777" w:rsidR="00BA4C1D" w:rsidRPr="00097E06" w:rsidRDefault="00BA4C1D" w:rsidP="00BA4C1D">
            <w:pPr>
              <w:rPr>
                <w:rFonts w:ascii="Times" w:hAnsi="Times"/>
                <w:sz w:val="20"/>
                <w:szCs w:val="20"/>
              </w:rPr>
            </w:pPr>
            <w:r w:rsidRPr="00097E06">
              <w:rPr>
                <w:rFonts w:ascii="Times" w:hAnsi="Times"/>
                <w:color w:val="000000"/>
                <w:sz w:val="20"/>
                <w:szCs w:val="20"/>
              </w:rPr>
              <w:t>No one may campaign on behalf of candidates, campaigning will result in disqualification of the candidacy. The National Electoral Court is responsible for the diffusion of all candidates</w:t>
            </w:r>
            <w:r>
              <w:rPr>
                <w:rFonts w:ascii="Times" w:hAnsi="Times"/>
                <w:color w:val="000000"/>
                <w:sz w:val="20"/>
                <w:szCs w:val="20"/>
              </w:rPr>
              <w:t>’</w:t>
            </w:r>
            <w:r w:rsidRPr="00097E06">
              <w:rPr>
                <w:rFonts w:ascii="Times" w:hAnsi="Times"/>
                <w:color w:val="000000"/>
                <w:sz w:val="20"/>
                <w:szCs w:val="20"/>
              </w:rPr>
              <w:t xml:space="preserve"> merits.</w:t>
            </w:r>
          </w:p>
        </w:tc>
      </w:tr>
      <w:tr w:rsidR="006D09EA" w14:paraId="4EF32A65" w14:textId="77777777" w:rsidTr="006D09EA">
        <w:trPr>
          <w:trHeight w:val="1555"/>
        </w:trPr>
        <w:tc>
          <w:tcPr>
            <w:tcW w:w="3059" w:type="dxa"/>
          </w:tcPr>
          <w:p w14:paraId="3E94BF33" w14:textId="77777777" w:rsidR="00BA4C1D" w:rsidRPr="00097E06" w:rsidRDefault="00BA4C1D" w:rsidP="00BA4C1D">
            <w:pPr>
              <w:rPr>
                <w:rFonts w:ascii="Times" w:hAnsi="Times"/>
                <w:b/>
                <w:sz w:val="20"/>
                <w:szCs w:val="20"/>
              </w:rPr>
            </w:pPr>
            <w:r w:rsidRPr="00097E06">
              <w:rPr>
                <w:rFonts w:ascii="Times" w:hAnsi="Times"/>
                <w:b/>
                <w:color w:val="000000"/>
                <w:sz w:val="20"/>
                <w:szCs w:val="20"/>
              </w:rPr>
              <w:t>Partisanship and candidate affiliations</w:t>
            </w:r>
          </w:p>
        </w:tc>
        <w:tc>
          <w:tcPr>
            <w:tcW w:w="3128" w:type="dxa"/>
          </w:tcPr>
          <w:p w14:paraId="6B77E509" w14:textId="77777777" w:rsidR="00BA4C1D" w:rsidRPr="00097E06" w:rsidRDefault="00BA4C1D" w:rsidP="00BA4C1D">
            <w:pPr>
              <w:rPr>
                <w:rFonts w:ascii="Times" w:hAnsi="Times"/>
                <w:sz w:val="20"/>
                <w:szCs w:val="20"/>
              </w:rPr>
            </w:pPr>
            <w:r w:rsidRPr="00097E06">
              <w:rPr>
                <w:rFonts w:ascii="Times" w:hAnsi="Times"/>
                <w:color w:val="000000"/>
                <w:sz w:val="20"/>
                <w:szCs w:val="20"/>
              </w:rPr>
              <w:t>Candidates can be proposed by social organizations, indigenous communities or from civil society, though affiliation with parties or politically recognized citizen groups is prohibited during the pre-selection and election period.</w:t>
            </w:r>
          </w:p>
        </w:tc>
        <w:tc>
          <w:tcPr>
            <w:tcW w:w="3087" w:type="dxa"/>
          </w:tcPr>
          <w:p w14:paraId="719A7E7B" w14:textId="77777777" w:rsidR="00BA4C1D" w:rsidRPr="00097E06" w:rsidRDefault="00BA4C1D" w:rsidP="00BA4C1D">
            <w:pPr>
              <w:rPr>
                <w:rFonts w:ascii="Times" w:hAnsi="Times"/>
                <w:sz w:val="20"/>
                <w:szCs w:val="20"/>
              </w:rPr>
            </w:pPr>
            <w:r w:rsidRPr="00097E06">
              <w:rPr>
                <w:rFonts w:ascii="Times" w:hAnsi="Times"/>
                <w:color w:val="000000"/>
                <w:sz w:val="20"/>
                <w:szCs w:val="20"/>
              </w:rPr>
              <w:t>Candidates can be proposed by organizations within civil society or from indigenous communities, though candidates are prohibited from affiliating with political organizations.</w:t>
            </w:r>
          </w:p>
        </w:tc>
      </w:tr>
      <w:tr w:rsidR="006D09EA" w14:paraId="286059A4" w14:textId="77777777" w:rsidTr="006D09EA">
        <w:trPr>
          <w:trHeight w:val="227"/>
        </w:trPr>
        <w:tc>
          <w:tcPr>
            <w:tcW w:w="3059" w:type="dxa"/>
          </w:tcPr>
          <w:p w14:paraId="61AE4C51" w14:textId="77777777" w:rsidR="00BA4C1D" w:rsidRPr="00407653" w:rsidRDefault="00BA4C1D" w:rsidP="00BA4C1D">
            <w:pPr>
              <w:rPr>
                <w:rFonts w:ascii="Times" w:hAnsi="Times"/>
                <w:b/>
                <w:sz w:val="20"/>
                <w:szCs w:val="20"/>
              </w:rPr>
            </w:pPr>
            <w:r w:rsidRPr="00407653">
              <w:rPr>
                <w:rFonts w:ascii="Times" w:hAnsi="Times"/>
                <w:b/>
                <w:color w:val="000000"/>
                <w:sz w:val="20"/>
                <w:szCs w:val="20"/>
              </w:rPr>
              <w:t>Vote threshold</w:t>
            </w:r>
          </w:p>
        </w:tc>
        <w:tc>
          <w:tcPr>
            <w:tcW w:w="3128" w:type="dxa"/>
          </w:tcPr>
          <w:p w14:paraId="76B2A147" w14:textId="77777777" w:rsidR="00BA4C1D" w:rsidRPr="00097E06" w:rsidRDefault="00BA4C1D" w:rsidP="00BA4C1D">
            <w:pPr>
              <w:rPr>
                <w:rFonts w:ascii="Times" w:hAnsi="Times"/>
                <w:sz w:val="20"/>
                <w:szCs w:val="20"/>
              </w:rPr>
            </w:pPr>
            <w:r w:rsidRPr="00097E06">
              <w:rPr>
                <w:rFonts w:ascii="Times" w:hAnsi="Times"/>
                <w:color w:val="000000"/>
                <w:sz w:val="20"/>
                <w:szCs w:val="20"/>
              </w:rPr>
              <w:t>Simple majority of national vote</w:t>
            </w:r>
          </w:p>
        </w:tc>
        <w:tc>
          <w:tcPr>
            <w:tcW w:w="3087" w:type="dxa"/>
          </w:tcPr>
          <w:p w14:paraId="3DE2298A" w14:textId="77777777" w:rsidR="00BA4C1D" w:rsidRPr="00097E06" w:rsidRDefault="00BA4C1D" w:rsidP="00BA4C1D">
            <w:pPr>
              <w:rPr>
                <w:rFonts w:ascii="Times" w:hAnsi="Times"/>
                <w:sz w:val="20"/>
                <w:szCs w:val="20"/>
              </w:rPr>
            </w:pPr>
            <w:r w:rsidRPr="00097E06">
              <w:rPr>
                <w:rFonts w:ascii="Times" w:hAnsi="Times"/>
                <w:color w:val="000000"/>
                <w:sz w:val="20"/>
                <w:szCs w:val="20"/>
              </w:rPr>
              <w:t>Simple majority of national vote</w:t>
            </w:r>
          </w:p>
        </w:tc>
      </w:tr>
      <w:tr w:rsidR="006D09EA" w14:paraId="286C67C9" w14:textId="77777777" w:rsidTr="006D09EA">
        <w:trPr>
          <w:trHeight w:val="435"/>
        </w:trPr>
        <w:tc>
          <w:tcPr>
            <w:tcW w:w="3059" w:type="dxa"/>
          </w:tcPr>
          <w:p w14:paraId="135BBF7F" w14:textId="77777777" w:rsidR="00BA4C1D" w:rsidRPr="00407653" w:rsidRDefault="00BA4C1D" w:rsidP="00BA4C1D">
            <w:pPr>
              <w:spacing w:line="480" w:lineRule="auto"/>
              <w:rPr>
                <w:rFonts w:ascii="Times" w:hAnsi="Times"/>
                <w:b/>
                <w:sz w:val="20"/>
                <w:szCs w:val="20"/>
              </w:rPr>
            </w:pPr>
            <w:r w:rsidRPr="00407653">
              <w:rPr>
                <w:rFonts w:ascii="Times" w:hAnsi="Times"/>
                <w:b/>
                <w:color w:val="000000"/>
                <w:sz w:val="20"/>
                <w:szCs w:val="20"/>
              </w:rPr>
              <w:t>Terms and reelection</w:t>
            </w:r>
          </w:p>
        </w:tc>
        <w:tc>
          <w:tcPr>
            <w:tcW w:w="3128" w:type="dxa"/>
          </w:tcPr>
          <w:p w14:paraId="41CE3996" w14:textId="77777777" w:rsidR="00BA4C1D" w:rsidRPr="00097E06" w:rsidRDefault="00BA4C1D" w:rsidP="00BA4C1D">
            <w:pPr>
              <w:tabs>
                <w:tab w:val="right" w:pos="3180"/>
              </w:tabs>
              <w:spacing w:line="480" w:lineRule="auto"/>
              <w:rPr>
                <w:rFonts w:ascii="Times" w:hAnsi="Times"/>
                <w:sz w:val="20"/>
                <w:szCs w:val="20"/>
              </w:rPr>
            </w:pPr>
            <w:r w:rsidRPr="00097E06">
              <w:rPr>
                <w:rFonts w:ascii="Times" w:hAnsi="Times"/>
                <w:color w:val="000000"/>
                <w:sz w:val="20"/>
                <w:szCs w:val="20"/>
              </w:rPr>
              <w:t>6 years, no reelection</w:t>
            </w:r>
            <w:r w:rsidRPr="00097E06">
              <w:rPr>
                <w:rFonts w:ascii="Times" w:hAnsi="Times"/>
                <w:color w:val="000000"/>
                <w:sz w:val="20"/>
                <w:szCs w:val="20"/>
              </w:rPr>
              <w:tab/>
            </w:r>
          </w:p>
        </w:tc>
        <w:tc>
          <w:tcPr>
            <w:tcW w:w="3087" w:type="dxa"/>
          </w:tcPr>
          <w:p w14:paraId="1F841027" w14:textId="77777777" w:rsidR="00BA4C1D" w:rsidRPr="00097E06" w:rsidRDefault="00BA4C1D" w:rsidP="00BA4C1D">
            <w:pPr>
              <w:spacing w:line="480" w:lineRule="auto"/>
              <w:rPr>
                <w:rFonts w:ascii="Times" w:hAnsi="Times"/>
                <w:sz w:val="20"/>
                <w:szCs w:val="20"/>
              </w:rPr>
            </w:pPr>
            <w:r w:rsidRPr="00097E06">
              <w:rPr>
                <w:rFonts w:ascii="Times" w:hAnsi="Times"/>
                <w:color w:val="000000"/>
                <w:sz w:val="20"/>
                <w:szCs w:val="20"/>
              </w:rPr>
              <w:t>6 years, no reelection</w:t>
            </w:r>
            <w:r w:rsidRPr="00097E06">
              <w:rPr>
                <w:rFonts w:ascii="Times" w:hAnsi="Times"/>
                <w:color w:val="000000"/>
                <w:sz w:val="20"/>
                <w:szCs w:val="20"/>
              </w:rPr>
              <w:tab/>
            </w:r>
          </w:p>
        </w:tc>
      </w:tr>
    </w:tbl>
    <w:p w14:paraId="61D645A9" w14:textId="77777777" w:rsidR="00781035" w:rsidRDefault="00781035"/>
    <w:p w14:paraId="743B54B6" w14:textId="77777777" w:rsidR="00BA4C1D" w:rsidRDefault="00BA4C1D"/>
    <w:p w14:paraId="5CDC0F58" w14:textId="77777777" w:rsidR="00BA4C1D" w:rsidRDefault="00BA4C1D"/>
    <w:p w14:paraId="0145782B" w14:textId="77777777" w:rsidR="00BA4C1D" w:rsidRDefault="00BA4C1D"/>
    <w:p w14:paraId="6370BA31" w14:textId="59E8D295" w:rsidR="00EC0978" w:rsidRDefault="00EC0978"/>
    <w:sectPr w:rsidR="00EC0978" w:rsidSect="00900E39">
      <w:pgSz w:w="12240" w:h="15840"/>
      <w:pgMar w:top="1512"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MT">
    <w:altName w:val="Arial"/>
    <w:charset w:val="00"/>
    <w:family w:val="swiss"/>
    <w:pitch w:val="default"/>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C1D"/>
    <w:rsid w:val="000510DC"/>
    <w:rsid w:val="002C20AD"/>
    <w:rsid w:val="00407653"/>
    <w:rsid w:val="006837F8"/>
    <w:rsid w:val="006D09EA"/>
    <w:rsid w:val="00781035"/>
    <w:rsid w:val="00900E39"/>
    <w:rsid w:val="00B86458"/>
    <w:rsid w:val="00BA4C1D"/>
    <w:rsid w:val="00C50621"/>
    <w:rsid w:val="00EC0978"/>
    <w:rsid w:val="00F873A1"/>
    <w:rsid w:val="00FD7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AA34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C1D"/>
    <w:pPr>
      <w:suppressAutoHyphens/>
    </w:pPr>
    <w:rPr>
      <w:rFonts w:ascii="Cambria" w:eastAsia="MS Mincho" w:hAnsi="Cambria" w:cs="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BA4C1D"/>
    <w:rPr>
      <w:sz w:val="16"/>
      <w:szCs w:val="16"/>
    </w:rPr>
  </w:style>
  <w:style w:type="paragraph" w:styleId="CommentText">
    <w:name w:val="annotation text"/>
    <w:basedOn w:val="Normal"/>
    <w:link w:val="CommentTextChar"/>
    <w:rsid w:val="00BA4C1D"/>
    <w:rPr>
      <w:sz w:val="20"/>
      <w:szCs w:val="20"/>
    </w:rPr>
  </w:style>
  <w:style w:type="character" w:customStyle="1" w:styleId="CommentTextChar">
    <w:name w:val="Comment Text Char"/>
    <w:basedOn w:val="DefaultParagraphFont"/>
    <w:link w:val="CommentText"/>
    <w:rsid w:val="00BA4C1D"/>
    <w:rPr>
      <w:rFonts w:ascii="Cambria" w:eastAsia="MS Mincho" w:hAnsi="Cambria" w:cs="Times New Roman"/>
      <w:sz w:val="20"/>
      <w:szCs w:val="20"/>
      <w:lang w:eastAsia="ar-SA"/>
    </w:rPr>
  </w:style>
  <w:style w:type="table" w:styleId="TableGrid">
    <w:name w:val="Table Grid"/>
    <w:basedOn w:val="TableNormal"/>
    <w:uiPriority w:val="59"/>
    <w:rsid w:val="00BA4C1D"/>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A4C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4C1D"/>
    <w:rPr>
      <w:rFonts w:ascii="Lucida Grande" w:eastAsia="MS Mincho" w:hAnsi="Lucida Grande" w:cs="Lucida Grande"/>
      <w:sz w:val="18"/>
      <w:szCs w:val="18"/>
      <w:lang w:eastAsia="ar-SA"/>
    </w:rPr>
  </w:style>
  <w:style w:type="character" w:styleId="FootnoteReference">
    <w:name w:val="footnote reference"/>
    <w:rsid w:val="006D09EA"/>
    <w:rPr>
      <w:vertAlign w:val="superscript"/>
    </w:rPr>
  </w:style>
  <w:style w:type="paragraph" w:styleId="FootnoteText">
    <w:name w:val="footnote text"/>
    <w:basedOn w:val="Normal"/>
    <w:link w:val="FootnoteTextChar"/>
    <w:rsid w:val="006D09EA"/>
  </w:style>
  <w:style w:type="character" w:customStyle="1" w:styleId="FootnoteTextChar">
    <w:name w:val="Footnote Text Char"/>
    <w:basedOn w:val="DefaultParagraphFont"/>
    <w:link w:val="FootnoteText"/>
    <w:rsid w:val="006D09EA"/>
    <w:rPr>
      <w:rFonts w:ascii="Cambria" w:eastAsia="MS Mincho" w:hAnsi="Cambria" w:cs="Times New Roman"/>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C1D"/>
    <w:pPr>
      <w:suppressAutoHyphens/>
    </w:pPr>
    <w:rPr>
      <w:rFonts w:ascii="Cambria" w:eastAsia="MS Mincho" w:hAnsi="Cambria" w:cs="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BA4C1D"/>
    <w:rPr>
      <w:sz w:val="16"/>
      <w:szCs w:val="16"/>
    </w:rPr>
  </w:style>
  <w:style w:type="paragraph" w:styleId="CommentText">
    <w:name w:val="annotation text"/>
    <w:basedOn w:val="Normal"/>
    <w:link w:val="CommentTextChar"/>
    <w:rsid w:val="00BA4C1D"/>
    <w:rPr>
      <w:sz w:val="20"/>
      <w:szCs w:val="20"/>
    </w:rPr>
  </w:style>
  <w:style w:type="character" w:customStyle="1" w:styleId="CommentTextChar">
    <w:name w:val="Comment Text Char"/>
    <w:basedOn w:val="DefaultParagraphFont"/>
    <w:link w:val="CommentText"/>
    <w:rsid w:val="00BA4C1D"/>
    <w:rPr>
      <w:rFonts w:ascii="Cambria" w:eastAsia="MS Mincho" w:hAnsi="Cambria" w:cs="Times New Roman"/>
      <w:sz w:val="20"/>
      <w:szCs w:val="20"/>
      <w:lang w:eastAsia="ar-SA"/>
    </w:rPr>
  </w:style>
  <w:style w:type="table" w:styleId="TableGrid">
    <w:name w:val="Table Grid"/>
    <w:basedOn w:val="TableNormal"/>
    <w:uiPriority w:val="59"/>
    <w:rsid w:val="00BA4C1D"/>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A4C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4C1D"/>
    <w:rPr>
      <w:rFonts w:ascii="Lucida Grande" w:eastAsia="MS Mincho" w:hAnsi="Lucida Grande" w:cs="Lucida Grande"/>
      <w:sz w:val="18"/>
      <w:szCs w:val="18"/>
      <w:lang w:eastAsia="ar-SA"/>
    </w:rPr>
  </w:style>
  <w:style w:type="character" w:styleId="FootnoteReference">
    <w:name w:val="footnote reference"/>
    <w:rsid w:val="006D09EA"/>
    <w:rPr>
      <w:vertAlign w:val="superscript"/>
    </w:rPr>
  </w:style>
  <w:style w:type="paragraph" w:styleId="FootnoteText">
    <w:name w:val="footnote text"/>
    <w:basedOn w:val="Normal"/>
    <w:link w:val="FootnoteTextChar"/>
    <w:rsid w:val="006D09EA"/>
  </w:style>
  <w:style w:type="character" w:customStyle="1" w:styleId="FootnoteTextChar">
    <w:name w:val="Footnote Text Char"/>
    <w:basedOn w:val="DefaultParagraphFont"/>
    <w:link w:val="FootnoteText"/>
    <w:rsid w:val="006D09EA"/>
    <w:rPr>
      <w:rFonts w:ascii="Cambria" w:eastAsia="MS Mincho" w:hAnsi="Cambria"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453</Words>
  <Characters>2588</Characters>
  <Application>Microsoft Macintosh Word</Application>
  <DocSecurity>0</DocSecurity>
  <Lines>21</Lines>
  <Paragraphs>6</Paragraphs>
  <ScaleCrop>false</ScaleCrop>
  <Company/>
  <LinksUpToDate>false</LinksUpToDate>
  <CharactersWithSpaces>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Driscoll</dc:creator>
  <cp:keywords/>
  <dc:description/>
  <cp:lastModifiedBy>Michael Nelson</cp:lastModifiedBy>
  <cp:revision>3</cp:revision>
  <cp:lastPrinted>2013-01-15T20:49:00Z</cp:lastPrinted>
  <dcterms:created xsi:type="dcterms:W3CDTF">2013-01-15T20:49:00Z</dcterms:created>
  <dcterms:modified xsi:type="dcterms:W3CDTF">2013-01-15T20:50:00Z</dcterms:modified>
</cp:coreProperties>
</file>